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88"/>
        <w:ind w:hanging="0" w:start="0" w:end="0"/>
        <w:jc w:val="start"/>
        <w:rPr/>
      </w:pPr>
      <w:r>
        <w:rPr/>
        <w:t>Cos’è?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La spettrofotometria UV/Visibile è una tecnica analitica che sfrutta l’assorbimento di luce da parte delle molecole per identificarle e quantificarle.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Perché è importante?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Lo spettro UV/Visibile di una sostanza è una sua “impronta digitale” unica e permette di: </w:t>
        <w:br/>
        <w:t>• Caratterizzare la sostanza (identificarla). </w:t>
        <w:br/>
        <w:t>• Determinare la quantità di sostanza presente in un campione (quantificazione). </w:t>
        <w:br/>
        <w:t>• Rispettare le normative di sicurezza (es. REACH in Europa).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Come funziona?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1</w:t>
      </w:r>
      <w:r>
        <w:rPr/>
        <w:t>. La luce UV/Visibile viene fatta passare attraverso un campione. </w:t>
        <w:br/>
      </w:r>
      <w:r>
        <w:rPr>
          <w:rStyle w:val="Strong"/>
        </w:rPr>
        <w:t>2</w:t>
      </w:r>
      <w:r>
        <w:rPr/>
        <w:t>. Alcune molecole assorbono la luce, altre la lasciano passare. </w:t>
        <w:br/>
      </w:r>
      <w:r>
        <w:rPr>
          <w:rStyle w:val="Strong"/>
        </w:rPr>
        <w:t>3</w:t>
      </w:r>
      <w:r>
        <w:rPr/>
        <w:t>. La quantità di luce assorbita viene misurata. </w:t>
        <w:br/>
      </w:r>
      <w:r>
        <w:rPr>
          <w:rStyle w:val="Strong"/>
        </w:rPr>
        <w:t>4</w:t>
      </w:r>
      <w:r>
        <w:rPr/>
        <w:t>. In base alla luce assorbita, si identifica e quantifica la sostanza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Quali sono le limitazioni?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• </w:t>
      </w:r>
      <w:r>
        <w:rPr/>
        <w:t>Al di sotto di 200 nm è necessaria una speciale attrezzatura. </w:t>
        <w:br/>
        <w:t>• Le molecole che non assorbono luce in questa regione non possono essere analizzate con questa tecnica.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Quali sono le applicazioni?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• </w:t>
      </w:r>
      <w:r>
        <w:rPr/>
        <w:t>Controllo qualità di cibo, farmaci, cosmetici e materiali industriali. </w:t>
        <w:br/>
        <w:t>• Diagnosi e monitoraggio di malattie. </w:t>
        <w:br/>
        <w:t>• Monitoraggio dell’inquinamento ambientale. </w:t>
        <w:br/>
        <w:t>• Controllo della fertilità del suolo e della qualità dei prodotti agricoli. </w:t>
        <w:br/>
        <w:t>• Sviluppo di nuovi materiali.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Ora…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… </w:t>
      </w:r>
      <w:r>
        <w:rPr/>
        <w:t>parliamo meglio delle transizioni energetiche, in presenza di molecole o ioni, indotte dall’assorbimento di radiazioni UV/visibili da parte della materia. </w:t>
        <w:br/>
        <w:t>Se la distanza fra i livelli energetici di partenza e di transizione è ampia servirà maggior energia per far eccitare gli elettroni di valenza.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Ci sono tre diverse transizioni: </w:t>
        <w:br/>
        <w:t>–</w:t>
      </w:r>
      <w:r>
        <w:rPr>
          <w:rStyle w:val="Strong"/>
        </w:rPr>
        <w:t xml:space="preserve"> transizioni σ → σ * </w:t>
      </w:r>
      <w:r>
        <w:rPr/>
        <w:t>(110-135 nm) </w:t>
        <w:br/>
        <w:t xml:space="preserve">– </w:t>
      </w:r>
      <w:r>
        <w:rPr>
          <w:rStyle w:val="Strong"/>
        </w:rPr>
        <w:t>transizioni π→ π*</w:t>
      </w:r>
      <w:r>
        <w:rPr/>
        <w:t xml:space="preserve"> (160-255 nm) </w:t>
        <w:br/>
        <w:t xml:space="preserve">– </w:t>
      </w:r>
      <w:r>
        <w:rPr>
          <w:rStyle w:val="Strong"/>
        </w:rPr>
        <w:t>n → π *, σ * (</w:t>
      </w:r>
      <w:r>
        <w:rPr/>
        <w:t>285 nm o più) </w:t>
        <w:br/>
        <w:t>i valori affianco indicano le lunghezze d’onda delle radiazioni corrispondenti ai salti tra gli orbitali molecolari indicati (la lunghezza d’onda è inversamente proporzionale al dislivello di energia) </w:t>
      </w:r>
    </w:p>
    <w:p>
      <w:pPr>
        <w:pStyle w:val="BodyText"/>
        <w:bidi w:val="0"/>
        <w:spacing w:lineRule="auto" w:line="288"/>
        <w:ind w:hanging="0" w:start="0" w:end="0"/>
        <w:jc w:val="start"/>
        <w:rPr/>
      </w:pPr>
      <w:r>
        <w:rPr/>
        <w:t>Le transizioni sono presenti nei composti organici e inorganici che presentano orbitali  molecolari  (σ,  π e corrispondenti di antilegame), nei casi dei composti inorganici e metallorganici dove sono presenti orbitali d e f si possono formare transizioni: </w:t>
        <w:br/>
        <w:t>d —&gt; d ; f —&gt; f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Consideriamo ora le principali transizioni energetiche: </w:t>
        <w:br/>
      </w:r>
      <w:r>
        <w:rPr>
          <w:rStyle w:val="Strong"/>
        </w:rPr>
        <w:t>Transizioni σ → σ*</w:t>
      </w:r>
      <w:r>
        <w:rPr/>
        <w:t>: Esse corrispondono, alla rottura di legami o e quindi richiedono energie molto elevate. 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Gli alcani danno solo questi assorbimenti, che cadono nella regione dell’UV lontano, detta anche UV sotto vuoto </w:t>
        <w:br/>
      </w:r>
      <w:r>
        <w:rPr>
          <w:rStyle w:val="Strong"/>
        </w:rPr>
        <w:t>Transizioni π→ π*</w:t>
      </w:r>
      <w:r>
        <w:rPr/>
        <w:t>: Esse sono tipiche dei composti insaturi e comprendono: </w:t>
        <w:br/>
        <w:t xml:space="preserve">-la transizione </w:t>
      </w:r>
      <w:r>
        <w:rPr>
          <w:rStyle w:val="Strong"/>
        </w:rPr>
        <w:t>E</w:t>
      </w:r>
      <w:r>
        <w:rPr/>
        <w:t xml:space="preserve"> (o etilenica) di sistemi π isolati; </w:t>
        <w:br/>
        <w:t xml:space="preserve">-la transizione </w:t>
      </w:r>
      <w:r>
        <w:rPr>
          <w:rStyle w:val="Strong"/>
        </w:rPr>
        <w:t xml:space="preserve">B </w:t>
      </w:r>
      <w:r>
        <w:rPr/>
        <w:t>(o benzenoide) di anelli benzenici.  </w:t>
        <w:br/>
        <w:t>-la transizione</w:t>
      </w:r>
      <w:r>
        <w:rPr>
          <w:rStyle w:val="Strong"/>
        </w:rPr>
        <w:t xml:space="preserve"> K</w:t>
      </w:r>
      <w:r>
        <w:rPr/>
        <w:t xml:space="preserve"> (o di coniugazione) di sistemi aromatici o coniugati, tanto più estesa è la delocalizzazione, tanto maggiore è la lunghezza d’onda di assorbimento e l’intensità della banda.  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 xml:space="preserve">Transizioni n → σ* e n → π*: </w:t>
      </w:r>
      <w:r>
        <w:rPr/>
        <w:t>Queste bande sono del tipo R, cioè radicalico, perché interessano eteroatomi che dispongono di doppietti di non legame.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Transizioni d → d o f→ f:</w:t>
      </w:r>
      <w:r>
        <w:rPr/>
        <w:t xml:space="preserve"> l’interazione del metallo centrale con i leganti a esso coordinati provoca una separazione fra i cinque orbitali d o i sette orbitali f.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Gli assorbimenti che corrispondono alle transizioni fra orbitali d (oppure f) cadono per lo più nella regione del visibile, perché i dislivelli sono piccoli; infatti, i composti di coordinazione dei metalli di transizione e dei lantanidi appaiono spesso colorati, come per esempio il complesso ammoniacale dello ione Cu</w:t>
      </w:r>
      <w:r>
        <w:rPr>
          <w:position w:val="8"/>
          <w:sz w:val="19"/>
        </w:rPr>
        <w:t xml:space="preserve">++ </w:t>
      </w:r>
      <w:r>
        <w:rPr/>
        <w:t>di intenso colore blu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Questo trasferimento influisce su diverse proprietà del composto, tra cui: </w:t>
        <w:br/>
      </w:r>
      <w:r>
        <w:rPr>
          <w:rStyle w:val="Strong"/>
        </w:rPr>
        <w:t>– Colore:</w:t>
      </w:r>
      <w:r>
        <w:rPr/>
        <w:t xml:space="preserve"> L’assorbimento di luce è associato a transizioni elettroniche che causano cambiamenti nel momento di dipolo. Nei composti di coordinazione, il trasferimento di carica intramolecolare tra l’atomo centrale e i leganti produce colori intensi. </w:t>
        <w:br/>
      </w:r>
      <w:r>
        <w:rPr>
          <w:rStyle w:val="Strong"/>
        </w:rPr>
        <w:t>– Stabilità:</w:t>
      </w:r>
      <w:r>
        <w:rPr/>
        <w:t xml:space="preserve"> Il trasferimento di carica contribuisce alla stabilità dei composti metallici. La facilità con cui avviene dipende dalla natura acida (capacità di cedere elettroni) del metallo e basica (capacità di ricevere elettroni) del suo compagno. </w:t>
        <w:br/>
      </w:r>
      <w:r>
        <w:rPr>
          <w:rStyle w:val="Strong"/>
        </w:rPr>
        <w:t>– Proprietà chimiche:</w:t>
      </w:r>
      <w:r>
        <w:rPr/>
        <w:t xml:space="preserve"> Il trasferimento di carica può modificare le proprietà chimiche dei composti, ad esempio la loro reattività.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b/>
          <w:bCs/>
          <w:sz w:val="36"/>
          <w:szCs w:val="36"/>
        </w:rPr>
        <w:t>Legge di Beer</w:t>
      </w:r>
      <w:r>
        <w:rPr/>
        <w:br/>
        <w:t>La legge sperimentale che descrive i fenomeni di assorbimento è chiamata Legge di Beer; essa è una relazione empirica che descrive l’assorbimento della luce da parte di un materiale.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Dobbiamo prima definire cosa è la T e l’A: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La trasmittanza, T, può essere espressa come rapporto tra la potenza radiante uscente e la potenza radiante entrante in una cella trasparente contenente una o più sostanze, normalmente disciolte in soluzioni, T=P/P</w:t>
      </w:r>
      <w:r>
        <w:rPr>
          <w:vertAlign w:val="subscript"/>
        </w:rPr>
        <w:t>0</w:t>
      </w:r>
      <w:r>
        <w:rPr/>
        <w:t>.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Mentre l’assorbanza, A,</w:t>
      </w:r>
      <w:r>
        <w:rPr>
          <w:rStyle w:val="Strong"/>
        </w:rPr>
        <w:t xml:space="preserve"> </w:t>
      </w:r>
      <w:r>
        <w:rPr/>
        <w:t>è una grandezza adimensionale che misura la capacità di una sostanza di assorbire la luce di una specifica lunghezza d’onda.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Più una sostanza è assorbente, maggiore sarà il suo valore di assorbanza. L’assorbanza è strettamente legata alla trasmittanza, che è la frazione di luce incidente che non viene assorbita dalla sostanza e che l’attraversa.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Ora possiamo infatti dire che, la legge afferma due concetti molto importanti, ovvero:</w:t>
        <w:br/>
        <w:t>– Maggiore è la concentrazione di un composto in una soluzione, maggiore è la luce che assorbe.</w:t>
        <w:br/>
        <w:t>– Maggiore lo spessore di una soluzione, maggiore è la luce che assorbe.</w:t>
        <w:br/>
        <w:t>La legge può essere rappresentata da questa formula: A = εbC</w:t>
        <w:br/>
        <w:t>A = è l’assorbanza</w:t>
        <w:br/>
        <w:t>ε = assorbività o assorbanza specifica molare</w:t>
        <w:br/>
        <w:t>b = il cammino ottico (cm), cioè lo spessore della soluzione attraversata dal raggio</w:t>
        <w:br/>
        <w:t xml:space="preserve">C = la concentrazione molare della specie chimca che assorbe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L’assorbanza</w:t>
      </w:r>
      <w:r>
        <w:rPr>
          <w:rStyle w:val="Strong"/>
        </w:rPr>
        <w:t xml:space="preserve"> </w:t>
      </w:r>
      <w:r>
        <w:rPr/>
        <w:t>è (come detto in precedenza) una grandezza adimensionale che misura la capacità di una sostanza di assorbire la luce di una specifica lunghezza d’onda.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Il coefficiente di assorbimento molare (ε) dipende dalle caratteristiche specifiche della sostanza che viene analizzata e dalla lunghezza d’onda della luce utilizzata per la misurazione.</w:t>
        <w:br/>
        <w:t>Se la concentrazione (C) è espressa in g/L, il coefficiente di assorbimento viene indicato con la lettera a. Ne deriva che per una specie chimica di massa molare MM: ε = 𝒶*MM.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Se il cammino ottico (b) viene fissato ed è noto, ad esempio tramite l’uso di celle a spessore costante di 1 cm e non varia, l’equazione che esprime la legge di Beer diventa del tipo:</w:t>
      </w:r>
      <w:r>
        <w:rPr>
          <w:rStyle w:val="Strong"/>
        </w:rPr>
        <w:t xml:space="preserve"> A = kC</w:t>
      </w:r>
      <w:r>
        <w:rPr/>
        <w:br/>
        <w:t>Questa è l’equazione di una retta che passa per l’origine degli assi cartesiani, k = ε*b è il coefficiente angolare della retta e quindi, dato che in genere b vale 1 cm, il coefficiente angolare della retta assorbanza/concentrazione (A/C) è uguale al coefficiente di assorbimento molare: k = ε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A volte, però, il grafico sperimentale A/C presenta un andamento non rettilineo: il valore di ε, per una determinata lunghezza d’onda in un determinato solvente, può variare al variare di C a causa di una serie di fattori chimici, fisici e strumentali.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La trasmittanza (T) è un’altra grandezza utile per esprimere l’assorbimento di radiazioni elettromagnetiche, la formula è T= I/Io</w:t>
        <w:br/>
        <w:t xml:space="preserve">Io è l’intensità della radiazione incidente </w:t>
        <w:br/>
        <w:t>I invece è l’intensità della radiazione in uscita dal campione.</w:t>
      </w:r>
    </w:p>
    <w:p>
      <w:pPr>
        <w:pStyle w:val="BodyText"/>
        <w:bidi w:val="0"/>
        <w:spacing w:before="0" w:after="140"/>
        <w:jc w:val="start"/>
        <w:rPr/>
      </w:pPr>
      <w:r>
        <w:rPr/>
        <w:t>Trasmittanza e assorbanza sono correlate inversamente tramite una relazione logaritmica: A= log 1/T= log Io /I ovvero T=10</w:t>
      </w:r>
      <w:r>
        <w:rPr>
          <w:vertAlign w:val="superscript"/>
        </w:rPr>
        <w:t>-A</w:t>
      </w:r>
      <w:r>
        <w:rPr/>
        <w:br/>
        <w:t>La trasmittanza viene anche spesso espressa come T percentuale, T%= T * 100, e allora T% = 10</w:t>
      </w:r>
      <w:r>
        <w:rPr>
          <w:vertAlign w:val="superscript"/>
        </w:rPr>
        <w:t>(2-A)</w:t>
      </w:r>
      <w:r>
        <w:rPr/>
        <w:t>; Valori di assorbanza superiori a 2 possono rendere difficile la misurazione precisa della radiazione, mentre valori inferiori a 0.1 possono portare a errori significativi nella misurazione.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LibreOffice/24.2.4.2$Windows_X86_64 LibreOffice_project/51a6219feb6075d9a4c46691dcfe0cd9c4fff3c2</Application>
  <AppVersion>15.0000</AppVersion>
  <Pages>3</Pages>
  <Words>1151</Words>
  <Characters>6251</Characters>
  <CharactersWithSpaces>7422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2024-11-24T18:10:01Z</dcterms:created>
  <dc:creator/>
  <dc:description/>
  <dc:language>it-IT</dc:language>
  <cp:lastModifiedBy/>
  <dcterms:modified xsi:type="dcterms:W3CDTF">2024-11-24T18:36:50Z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